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00CD11C4">
        <w:rPr>
          <w:rFonts w:ascii="Times New Roman" w:eastAsia="Times New Roman" w:hAnsi="Times New Roman"/>
          <w:b/>
          <w:sz w:val="28"/>
          <w:szCs w:val="28"/>
          <w:lang w:eastAsia="ru-RU"/>
        </w:rPr>
        <w:t>муниципального района Пестравский</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09"/>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Управление эксплуатацией жилого фонда за вознаграждение или на договорной основе; оказание жи</w:t>
            </w:r>
            <w:r w:rsidRPr="009A3329">
              <w:rPr>
                <w:rFonts w:ascii="Times New Roman" w:eastAsia="Times New Roman" w:hAnsi="Times New Roman"/>
                <w:color w:val="000000"/>
                <w:lang w:eastAsia="ru-RU"/>
              </w:rPr>
              <w:softHyphen/>
              <w:t xml:space="preserve">лищно-коммунальных услуг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sz w:val="20"/>
                <w:szCs w:val="20"/>
                <w:lang w:eastAsia="ru-RU"/>
              </w:rPr>
              <w:t>12 988 827,8</w:t>
            </w:r>
          </w:p>
        </w:tc>
      </w:tr>
      <w:tr w:rsidR="006A785B" w:rsidRPr="009A3329" w:rsidTr="00201186">
        <w:trPr>
          <w:trHeight w:val="76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Пестравкаавтотранс</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Пассажирские перевозки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6 945 680</w:t>
            </w:r>
          </w:p>
        </w:tc>
      </w:tr>
      <w:tr w:rsidR="006A785B" w:rsidRPr="009A3329" w:rsidTr="00201186">
        <w:trPr>
          <w:trHeight w:val="73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Комжилсервис</w:t>
            </w:r>
            <w:proofErr w:type="spellEnd"/>
            <w:r w:rsidRPr="009A3329">
              <w:rPr>
                <w:rFonts w:ascii="Times New Roman" w:eastAsia="Times New Roman" w:hAnsi="Times New Roman"/>
                <w:color w:val="000000"/>
                <w:lang w:eastAsia="ru-RU"/>
              </w:rPr>
              <w:t>»</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Содержание жилья; сбор и обра</w:t>
            </w:r>
            <w:r w:rsidRPr="009A3329">
              <w:rPr>
                <w:rFonts w:ascii="Times New Roman" w:eastAsia="Times New Roman" w:hAnsi="Times New Roman"/>
                <w:color w:val="000000"/>
                <w:lang w:eastAsia="ru-RU"/>
              </w:rPr>
              <w:softHyphen/>
              <w:t>ботка сточных вод</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2 059 253,2</w:t>
            </w:r>
          </w:p>
        </w:tc>
      </w:tr>
    </w:tbl>
    <w:p w:rsidR="00ED1B95" w:rsidRPr="0074692C" w:rsidRDefault="00ED1B95" w:rsidP="006A785B">
      <w:pPr>
        <w:ind w:firstLine="0"/>
        <w:jc w:val="both"/>
        <w:rPr>
          <w:rFonts w:ascii="Times New Roman" w:eastAsia="Times New Roman" w:hAnsi="Times New Roman"/>
          <w:sz w:val="28"/>
          <w:szCs w:val="28"/>
          <w:lang w:eastAsia="ru-RU"/>
        </w:rPr>
      </w:pPr>
      <w:bookmarkStart w:id="0" w:name="_GoBack"/>
      <w:bookmarkEnd w:id="0"/>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A8" w:rsidRDefault="00A01DA8" w:rsidP="003936B6">
      <w:r>
        <w:separator/>
      </w:r>
    </w:p>
  </w:endnote>
  <w:endnote w:type="continuationSeparator" w:id="0">
    <w:p w:rsidR="00A01DA8" w:rsidRDefault="00A01DA8"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A8" w:rsidRDefault="00A01DA8" w:rsidP="003936B6">
      <w:r>
        <w:separator/>
      </w:r>
    </w:p>
  </w:footnote>
  <w:footnote w:type="continuationSeparator" w:id="0">
    <w:p w:rsidR="00A01DA8" w:rsidRDefault="00A01DA8"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CD11C4">
          <w:rPr>
            <w:rFonts w:ascii="Times New Roman" w:hAnsi="Times New Roman"/>
            <w:noProof/>
            <w:sz w:val="24"/>
            <w:szCs w:val="24"/>
          </w:rPr>
          <w:t>5</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1DA8"/>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1C4"/>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3DEC-5C62-4B17-ABA5-F1FF68B3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Татьяна И. Комарова</cp:lastModifiedBy>
  <cp:revision>2</cp:revision>
  <cp:lastPrinted>2020-03-06T13:02:00Z</cp:lastPrinted>
  <dcterms:created xsi:type="dcterms:W3CDTF">2020-05-21T04:31:00Z</dcterms:created>
  <dcterms:modified xsi:type="dcterms:W3CDTF">2020-05-21T04:31:00Z</dcterms:modified>
</cp:coreProperties>
</file>